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f9d1f69f64f4bcc0a93a3a8da8be69063c6dec9"/>
    <w:p>
      <w:pPr>
        <w:pStyle w:val="Heading1"/>
      </w:pPr>
      <w:r>
        <w:t xml:space="preserve">Faculty of Environmental Science and Disaster Management</w:t>
      </w:r>
    </w:p>
    <w:bookmarkStart w:id="20" w:name="X874bedfa9603bfaa327e56432795c9113ec154a"/>
    <w:p>
      <w:pPr>
        <w:pStyle w:val="Heading2"/>
      </w:pPr>
      <w:r>
        <w:t xml:space="preserve">Patuakhali Science and Technology University</w:t>
      </w:r>
    </w:p>
    <w:bookmarkEnd w:id="20"/>
    <w:bookmarkEnd w:id="21"/>
    <w:bookmarkStart w:id="23" w:name="X72cfb56ac8595a8c232fdf3e3aff5d002fdfcd9"/>
    <w:p>
      <w:pPr>
        <w:pStyle w:val="Heading1"/>
      </w:pPr>
      <w:r>
        <w:t xml:space="preserve">Undergraduate Internship Student Allocation Rules and Guidelines</w:t>
      </w:r>
    </w:p>
    <w:bookmarkStart w:id="22" w:name="purpose"/>
    <w:p>
      <w:pPr>
        <w:pStyle w:val="Heading3"/>
      </w:pPr>
      <w:r>
        <w:t xml:space="preserve">1. Purpose</w:t>
      </w:r>
    </w:p>
    <w:p>
      <w:pPr>
        <w:pStyle w:val="FirstParagraph"/>
      </w:pPr>
      <w:r>
        <w:t xml:space="preserve">These guidelines establish a transparent, fair, and merit-based system for allocating undergraduate students to internship disciplines offered by the Faculty of Environmental Science and Disaster Management (FESDM). The allocation process considers both students’ academic performance and their preferred internship disciplines.</w:t>
      </w:r>
    </w:p>
    <w:p>
      <w:r>
        <w:pict>
          <v:rect style="width:0;height:1.5pt" o:hralign="center" o:hrstd="t" o:hr="t"/>
        </w:pict>
      </w:r>
    </w:p>
    <w:bookmarkEnd w:id="22"/>
    <w:bookmarkEnd w:id="23"/>
    <w:bookmarkStart w:id="24" w:name="internship-disciplines"/>
    <w:p>
      <w:pPr>
        <w:pStyle w:val="Heading1"/>
      </w:pPr>
      <w:r>
        <w:t xml:space="preserve">2. Internship Disciplines</w:t>
      </w:r>
    </w:p>
    <w:p>
      <w:pPr>
        <w:pStyle w:val="FirstParagraph"/>
      </w:pPr>
      <w:r>
        <w:t xml:space="preserve">Students may apply for internship placement in the following disciplines:</w:t>
      </w:r>
    </w:p>
    <w:p>
      <w:pPr>
        <w:pStyle w:val="Compact"/>
        <w:numPr>
          <w:ilvl w:val="0"/>
          <w:numId w:val="1001"/>
        </w:numPr>
      </w:pPr>
      <w:r>
        <w:t xml:space="preserve">Geography and Environment (GEO)</w:t>
      </w:r>
    </w:p>
    <w:p>
      <w:pPr>
        <w:pStyle w:val="Compact"/>
        <w:numPr>
          <w:ilvl w:val="0"/>
          <w:numId w:val="1001"/>
        </w:numPr>
      </w:pPr>
      <w:r>
        <w:t xml:space="preserve">Environmental Science (ENS)</w:t>
      </w:r>
    </w:p>
    <w:p>
      <w:pPr>
        <w:pStyle w:val="Compact"/>
        <w:numPr>
          <w:ilvl w:val="0"/>
          <w:numId w:val="1001"/>
        </w:numPr>
      </w:pPr>
      <w:r>
        <w:t xml:space="preserve">Disaster Risk Engineering (DRE)</w:t>
      </w:r>
    </w:p>
    <w:p>
      <w:pPr>
        <w:pStyle w:val="Compact"/>
        <w:numPr>
          <w:ilvl w:val="0"/>
          <w:numId w:val="1001"/>
        </w:numPr>
      </w:pPr>
      <w:r>
        <w:t xml:space="preserve">Environmental Resource Management (ERM)</w:t>
      </w:r>
    </w:p>
    <w:p>
      <w:pPr>
        <w:pStyle w:val="Compact"/>
        <w:numPr>
          <w:ilvl w:val="0"/>
          <w:numId w:val="1001"/>
        </w:numPr>
      </w:pPr>
      <w:r>
        <w:t xml:space="preserve">Disaster Risk Management (DRM)</w:t>
      </w:r>
    </w:p>
    <w:p>
      <w:r>
        <w:pict>
          <v:rect style="width:0;height:1.5pt" o:hralign="center" o:hrstd="t" o:hr="t"/>
        </w:pict>
      </w:r>
    </w:p>
    <w:bookmarkEnd w:id="24"/>
    <w:bookmarkStart w:id="25" w:name="submission-of-preferences"/>
    <w:p>
      <w:pPr>
        <w:pStyle w:val="Heading1"/>
      </w:pPr>
      <w:r>
        <w:t xml:space="preserve">3. Submission of Preferences</w:t>
      </w:r>
    </w:p>
    <w:p>
      <w:pPr>
        <w:numPr>
          <w:ilvl w:val="0"/>
          <w:numId w:val="1002"/>
        </w:numPr>
      </w:pPr>
      <w:r>
        <w:t xml:space="preserve">Every student must submit</w:t>
      </w:r>
      <w:r>
        <w:t xml:space="preserve"> </w:t>
      </w:r>
      <w:r>
        <w:rPr>
          <w:b/>
          <w:bCs/>
        </w:rPr>
        <w:t xml:space="preserve">five (5) internship preferences</w:t>
      </w:r>
      <w:r>
        <w:t xml:space="preserve"> </w:t>
      </w:r>
      <w:r>
        <w:t xml:space="preserve">in order of priority.</w:t>
      </w:r>
    </w:p>
    <w:p>
      <w:pPr>
        <w:numPr>
          <w:ilvl w:val="0"/>
          <w:numId w:val="1002"/>
        </w:numPr>
      </w:pPr>
      <w:r>
        <w:t xml:space="preserve">Preferences shall be ranked as:</w:t>
      </w:r>
    </w:p>
    <w:p>
      <w:pPr>
        <w:pStyle w:val="Compact"/>
        <w:numPr>
          <w:ilvl w:val="0"/>
          <w:numId w:val="1003"/>
        </w:numPr>
      </w:pPr>
      <w:r>
        <w:t xml:space="preserve">First Preference</w:t>
      </w:r>
    </w:p>
    <w:p>
      <w:pPr>
        <w:pStyle w:val="Compact"/>
        <w:numPr>
          <w:ilvl w:val="0"/>
          <w:numId w:val="1003"/>
        </w:numPr>
      </w:pPr>
      <w:r>
        <w:t xml:space="preserve">Second Preference</w:t>
      </w:r>
    </w:p>
    <w:p>
      <w:pPr>
        <w:pStyle w:val="Compact"/>
        <w:numPr>
          <w:ilvl w:val="0"/>
          <w:numId w:val="1003"/>
        </w:numPr>
      </w:pPr>
      <w:r>
        <w:t xml:space="preserve">Third Preference</w:t>
      </w:r>
    </w:p>
    <w:p>
      <w:pPr>
        <w:pStyle w:val="Compact"/>
        <w:numPr>
          <w:ilvl w:val="0"/>
          <w:numId w:val="1003"/>
        </w:numPr>
      </w:pPr>
      <w:r>
        <w:t xml:space="preserve">Fourth Preference</w:t>
      </w:r>
    </w:p>
    <w:p>
      <w:pPr>
        <w:pStyle w:val="Compact"/>
        <w:numPr>
          <w:ilvl w:val="0"/>
          <w:numId w:val="1003"/>
        </w:numPr>
      </w:pPr>
      <w:r>
        <w:t xml:space="preserve">Fifth Preference</w:t>
      </w:r>
    </w:p>
    <w:p>
      <w:pPr>
        <w:pStyle w:val="Compact"/>
        <w:numPr>
          <w:ilvl w:val="0"/>
          <w:numId w:val="1004"/>
        </w:numPr>
      </w:pPr>
      <w:r>
        <w:t xml:space="preserve">Once submitted and the deadline has passed, preferences cannot be changed unless approved by the Internship Committee under exceptional circumstances.</w:t>
      </w:r>
    </w:p>
    <w:p>
      <w:r>
        <w:pict>
          <v:rect style="width:0;height:1.5pt" o:hralign="center" o:hrstd="t" o:hr="t"/>
        </w:pict>
      </w:r>
    </w:p>
    <w:bookmarkEnd w:id="25"/>
    <w:bookmarkStart w:id="26" w:name="allocation-criteria"/>
    <w:p>
      <w:pPr>
        <w:pStyle w:val="Heading1"/>
      </w:pPr>
      <w:r>
        <w:t xml:space="preserve">4. Allocation Criteria</w:t>
      </w:r>
    </w:p>
    <w:p>
      <w:pPr>
        <w:pStyle w:val="FirstParagraph"/>
      </w:pPr>
      <w:r>
        <w:t xml:space="preserve">Internship allocation shall be determined using a weighted scoring system consisting of three components: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Weight</w:t>
            </w:r>
          </w:p>
        </w:tc>
      </w:tr>
      <w:tr>
        <w:tc>
          <w:tcPr/>
          <w:p>
            <w:pPr>
              <w:pStyle w:val="Compact"/>
            </w:pPr>
            <w:r>
              <w:t xml:space="preserve">Student Preference</w:t>
            </w:r>
          </w:p>
        </w:tc>
        <w:tc>
          <w:tcPr/>
          <w:p>
            <w:pPr>
              <w:pStyle w:val="Compact"/>
            </w:pPr>
            <w:r>
              <w:t xml:space="preserve">50%</w:t>
            </w:r>
          </w:p>
        </w:tc>
      </w:tr>
      <w:tr>
        <w:tc>
          <w:tcPr/>
          <w:p>
            <w:pPr>
              <w:pStyle w:val="Compact"/>
            </w:pPr>
            <w:r>
              <w:t xml:space="preserve">Academic Performance (CGPA)</w:t>
            </w:r>
          </w:p>
        </w:tc>
        <w:tc>
          <w:tcPr/>
          <w:p>
            <w:pPr>
              <w:pStyle w:val="Compact"/>
            </w:pPr>
            <w:r>
              <w:t xml:space="preserve">30%</w:t>
            </w:r>
          </w:p>
        </w:tc>
      </w:tr>
      <w:tr>
        <w:tc>
          <w:tcPr/>
          <w:p>
            <w:pPr>
              <w:pStyle w:val="Compact"/>
            </w:pPr>
            <w:r>
              <w:t xml:space="preserve">Fixed Baseline Score</w:t>
            </w:r>
          </w:p>
        </w:tc>
        <w:tc>
          <w:tcPr/>
          <w:p>
            <w:pPr>
              <w:pStyle w:val="Compact"/>
            </w:pPr>
            <w:r>
              <w:t xml:space="preserve">20%</w:t>
            </w:r>
          </w:p>
        </w:tc>
      </w:tr>
    </w:tbl>
    <w:p>
      <w:r>
        <w:pict>
          <v:rect style="width:0;height:1.5pt" o:hralign="center" o:hrstd="t" o:hr="t"/>
        </w:pict>
      </w:r>
    </w:p>
    <w:bookmarkEnd w:id="26"/>
    <w:bookmarkStart w:id="27" w:name="preference-scores"/>
    <w:p>
      <w:pPr>
        <w:pStyle w:val="Heading1"/>
      </w:pPr>
      <w:r>
        <w:t xml:space="preserve">5. Preference Scores</w:t>
      </w:r>
    </w:p>
    <w:p>
      <w:pPr>
        <w:pStyle w:val="FirstParagraph"/>
      </w:pPr>
      <w:r>
        <w:t xml:space="preserve">Preference rankings shall receive the following scores: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Preference</w:t>
            </w:r>
          </w:p>
        </w:tc>
        <w:tc>
          <w:tcPr/>
          <w:p>
            <w:pPr>
              <w:pStyle w:val="Compact"/>
            </w:pPr>
            <w:r>
              <w:t xml:space="preserve">Score</w:t>
            </w:r>
          </w:p>
        </w:tc>
      </w:tr>
      <w:tr>
        <w:tc>
          <w:tcPr/>
          <w:p>
            <w:pPr>
              <w:pStyle w:val="Compact"/>
            </w:pPr>
            <w:r>
              <w:t xml:space="preserve">1st Choice</w:t>
            </w:r>
          </w:p>
        </w:tc>
        <w:tc>
          <w:tcPr/>
          <w:p>
            <w:pPr>
              <w:pStyle w:val="Compact"/>
            </w:pPr>
            <w:r>
              <w:t xml:space="preserve">100</w:t>
            </w:r>
          </w:p>
        </w:tc>
      </w:tr>
      <w:tr>
        <w:tc>
          <w:tcPr/>
          <w:p>
            <w:pPr>
              <w:pStyle w:val="Compact"/>
            </w:pPr>
            <w:r>
              <w:t xml:space="preserve">2nd Choice</w:t>
            </w:r>
          </w:p>
        </w:tc>
        <w:tc>
          <w:tcPr/>
          <w:p>
            <w:pPr>
              <w:pStyle w:val="Compact"/>
            </w:pPr>
            <w:r>
              <w:t xml:space="preserve">80</w:t>
            </w:r>
          </w:p>
        </w:tc>
      </w:tr>
      <w:tr>
        <w:tc>
          <w:tcPr/>
          <w:p>
            <w:pPr>
              <w:pStyle w:val="Compact"/>
            </w:pPr>
            <w:r>
              <w:t xml:space="preserve">3rd Choice</w:t>
            </w:r>
          </w:p>
        </w:tc>
        <w:tc>
          <w:tcPr/>
          <w:p>
            <w:pPr>
              <w:pStyle w:val="Compact"/>
            </w:pPr>
            <w:r>
              <w:t xml:space="preserve">60</w:t>
            </w:r>
          </w:p>
        </w:tc>
      </w:tr>
      <w:tr>
        <w:tc>
          <w:tcPr/>
          <w:p>
            <w:pPr>
              <w:pStyle w:val="Compact"/>
            </w:pPr>
            <w:r>
              <w:t xml:space="preserve">4th Choice</w:t>
            </w:r>
          </w:p>
        </w:tc>
        <w:tc>
          <w:tcPr/>
          <w:p>
            <w:pPr>
              <w:pStyle w:val="Compact"/>
            </w:pPr>
            <w:r>
              <w:t xml:space="preserve">40</w:t>
            </w:r>
          </w:p>
        </w:tc>
      </w:tr>
      <w:tr>
        <w:tc>
          <w:tcPr/>
          <w:p>
            <w:pPr>
              <w:pStyle w:val="Compact"/>
            </w:pPr>
            <w:r>
              <w:t xml:space="preserve">5th Choice</w:t>
            </w:r>
          </w:p>
        </w:tc>
        <w:tc>
          <w:tcPr/>
          <w:p>
            <w:pPr>
              <w:pStyle w:val="Compact"/>
            </w:pPr>
            <w:r>
              <w:t xml:space="preserve">20</w:t>
            </w:r>
          </w:p>
        </w:tc>
      </w:tr>
    </w:tbl>
    <w:p>
      <w:pPr>
        <w:pStyle w:val="BodyText"/>
      </w:pPr>
      <w:r>
        <w:t xml:space="preserve">These scores reflect the student’s interest in each internship discipline.</w:t>
      </w:r>
    </w:p>
    <w:p>
      <w:r>
        <w:pict>
          <v:rect style="width:0;height:1.5pt" o:hralign="center" o:hrstd="t" o:hr="t"/>
        </w:pict>
      </w:r>
    </w:p>
    <w:bookmarkEnd w:id="27"/>
    <w:bookmarkStart w:id="28" w:name="academic-performance"/>
    <w:p>
      <w:pPr>
        <w:pStyle w:val="Heading1"/>
      </w:pPr>
      <w:r>
        <w:t xml:space="preserve">6. Academic Performance</w:t>
      </w:r>
    </w:p>
    <w:p>
      <w:pPr>
        <w:pStyle w:val="FirstParagraph"/>
      </w:pPr>
      <w:r>
        <w:t xml:space="preserve">The student’s cumulative CGPA shall be converted into a percentage using:</w:t>
      </w:r>
    </w:p>
    <w:p>
      <w:pPr>
        <w:pStyle w:val="BodyText"/>
      </w:pPr>
      <w:r>
        <w:t xml:space="preserve">CGPA Percentage = CGPA × 25</w:t>
      </w:r>
    </w:p>
    <w:p>
      <w:pPr>
        <w:pStyle w:val="BodyText"/>
      </w:pPr>
      <w:r>
        <w:t xml:space="preserve">The academic contribution to the final score is:</w:t>
      </w:r>
    </w:p>
    <w:p>
      <w:pPr>
        <w:pStyle w:val="BodyText"/>
      </w:pPr>
      <w:r>
        <w:t xml:space="preserve">Academic Score = 30% × (CGPA × 25)</w:t>
      </w:r>
    </w:p>
    <w:p>
      <w:r>
        <w:pict>
          <v:rect style="width:0;height:1.5pt" o:hralign="center" o:hrstd="t" o:hr="t"/>
        </w:pict>
      </w:r>
    </w:p>
    <w:bookmarkEnd w:id="28"/>
    <w:bookmarkStart w:id="29" w:name="final-allocation-score"/>
    <w:p>
      <w:pPr>
        <w:pStyle w:val="Heading1"/>
      </w:pPr>
      <w:r>
        <w:t xml:space="preserve">7. Final Allocation Score</w:t>
      </w:r>
    </w:p>
    <w:p>
      <w:pPr>
        <w:pStyle w:val="FirstParagraph"/>
      </w:pPr>
      <w:r>
        <w:t xml:space="preserve">For each internship discipline, the final score shall be calculated as:</w:t>
      </w:r>
    </w:p>
    <w:p>
      <w:pPr>
        <w:pStyle w:val="BodyText"/>
      </w:pPr>
      <w:r>
        <w:rPr>
          <w:b/>
          <w:bCs/>
        </w:rPr>
        <w:t xml:space="preserve">Final Score = (0.50 × Preference Score) + (0.30 × (CGPA × 25)) + (0.20 × 100)</w:t>
      </w:r>
    </w:p>
    <w:p>
      <w:pPr>
        <w:pStyle w:val="BodyText"/>
      </w:pPr>
      <w:r>
        <w:t xml:space="preserve">This score is calculated separately for every internship discipline according to the student’s submitted preference ranking.</w:t>
      </w:r>
    </w:p>
    <w:p>
      <w:r>
        <w:pict>
          <v:rect style="width:0;height:1.5pt" o:hralign="center" o:hrstd="t" o:hr="t"/>
        </w:pict>
      </w:r>
    </w:p>
    <w:bookmarkEnd w:id="29"/>
    <w:bookmarkStart w:id="30" w:name="allocation-procedure"/>
    <w:p>
      <w:pPr>
        <w:pStyle w:val="Heading1"/>
      </w:pPr>
      <w:r>
        <w:t xml:space="preserve">8. Allocation Procedure</w:t>
      </w:r>
    </w:p>
    <w:p>
      <w:pPr>
        <w:numPr>
          <w:ilvl w:val="0"/>
          <w:numId w:val="1005"/>
        </w:numPr>
      </w:pPr>
      <w:r>
        <w:t xml:space="preserve">The Internship Committee shall calculate the final score for every student for each internship discipline.</w:t>
      </w:r>
    </w:p>
    <w:p>
      <w:pPr>
        <w:numPr>
          <w:ilvl w:val="0"/>
          <w:numId w:val="1005"/>
        </w:numPr>
      </w:pPr>
      <w:r>
        <w:t xml:space="preserve">Students shall be ranked according to their final score within each discipline.</w:t>
      </w:r>
    </w:p>
    <w:p>
      <w:pPr>
        <w:numPr>
          <w:ilvl w:val="0"/>
          <w:numId w:val="1005"/>
        </w:numPr>
      </w:pPr>
      <w:r>
        <w:t xml:space="preserve">Available internship seats shall be filled beginning with the highest-ranked students.</w:t>
      </w:r>
    </w:p>
    <w:p>
      <w:pPr>
        <w:numPr>
          <w:ilvl w:val="0"/>
          <w:numId w:val="1005"/>
        </w:numPr>
      </w:pPr>
      <w:r>
        <w:t xml:space="preserve">When a discipline reaches its approved capacity, remaining students shall be considered for their next highest preference according to their calculated scores.</w:t>
      </w:r>
    </w:p>
    <w:p>
      <w:pPr>
        <w:numPr>
          <w:ilvl w:val="0"/>
          <w:numId w:val="1005"/>
        </w:numPr>
      </w:pPr>
      <w:r>
        <w:t xml:space="preserve">The process shall continue until all students are allocated.</w:t>
      </w:r>
    </w:p>
    <w:p>
      <w:r>
        <w:pict>
          <v:rect style="width:0;height:1.5pt" o:hralign="center" o:hrstd="t" o:hr="t"/>
        </w:pict>
      </w:r>
    </w:p>
    <w:bookmarkEnd w:id="30"/>
    <w:bookmarkStart w:id="31" w:name="tie-breaking-rules"/>
    <w:p>
      <w:pPr>
        <w:pStyle w:val="Heading1"/>
      </w:pPr>
      <w:r>
        <w:t xml:space="preserve">9. Tie-Breaking Rules</w:t>
      </w:r>
    </w:p>
    <w:p>
      <w:pPr>
        <w:pStyle w:val="FirstParagraph"/>
      </w:pPr>
      <w:r>
        <w:t xml:space="preserve">If two or more students obtain identical final scores, priority shall be determined in the following order:</w:t>
      </w:r>
    </w:p>
    <w:p>
      <w:pPr>
        <w:pStyle w:val="Compact"/>
        <w:numPr>
          <w:ilvl w:val="0"/>
          <w:numId w:val="1006"/>
        </w:numPr>
      </w:pPr>
      <w:r>
        <w:t xml:space="preserve">Higher CGPA.</w:t>
      </w:r>
    </w:p>
    <w:p>
      <w:pPr>
        <w:pStyle w:val="Compact"/>
        <w:numPr>
          <w:ilvl w:val="0"/>
          <w:numId w:val="1006"/>
        </w:numPr>
      </w:pPr>
      <w:r>
        <w:t xml:space="preserve">Higher preference ranking for the discipline.</w:t>
      </w:r>
    </w:p>
    <w:p>
      <w:pPr>
        <w:pStyle w:val="Compact"/>
        <w:numPr>
          <w:ilvl w:val="0"/>
          <w:numId w:val="1006"/>
        </w:numPr>
      </w:pPr>
      <w:r>
        <w:t xml:space="preserve">Better academic performance in relevant departmental courses (if applicable).</w:t>
      </w:r>
    </w:p>
    <w:p>
      <w:pPr>
        <w:pStyle w:val="Compact"/>
        <w:numPr>
          <w:ilvl w:val="0"/>
          <w:numId w:val="1006"/>
        </w:numPr>
      </w:pPr>
      <w:r>
        <w:t xml:space="preserve">Decision of the Internship Committee.</w:t>
      </w:r>
    </w:p>
    <w:p>
      <w:r>
        <w:pict>
          <v:rect style="width:0;height:1.5pt" o:hralign="center" o:hrstd="t" o:hr="t"/>
        </w:pict>
      </w:r>
    </w:p>
    <w:bookmarkEnd w:id="31"/>
    <w:bookmarkStart w:id="32" w:name="internship-capacity"/>
    <w:p>
      <w:pPr>
        <w:pStyle w:val="Heading1"/>
      </w:pPr>
      <w:r>
        <w:t xml:space="preserve">10. Internship Capacity</w:t>
      </w:r>
    </w:p>
    <w:p>
      <w:pPr>
        <w:pStyle w:val="FirstParagraph"/>
      </w:pPr>
      <w:r>
        <w:t xml:space="preserve">The Faculty Internship Committee shall determine the maximum number of students allocated to each internship discipline before the allocation process begins. Allocation shall not exceed the approved capacity.</w:t>
      </w:r>
    </w:p>
    <w:p>
      <w:r>
        <w:pict>
          <v:rect style="width:0;height:1.5pt" o:hralign="center" o:hrstd="t" o:hr="t"/>
        </w:pict>
      </w:r>
    </w:p>
    <w:bookmarkEnd w:id="32"/>
    <w:bookmarkStart w:id="33" w:name="publication-of-results"/>
    <w:p>
      <w:pPr>
        <w:pStyle w:val="Heading1"/>
      </w:pPr>
      <w:r>
        <w:t xml:space="preserve">11. Publication of Results</w:t>
      </w:r>
    </w:p>
    <w:p>
      <w:pPr>
        <w:pStyle w:val="FirstParagraph"/>
      </w:pPr>
      <w:r>
        <w:t xml:space="preserve">The Faculty shall publish:</w:t>
      </w:r>
    </w:p>
    <w:p>
      <w:pPr>
        <w:pStyle w:val="Compact"/>
        <w:numPr>
          <w:ilvl w:val="0"/>
          <w:numId w:val="1007"/>
        </w:numPr>
      </w:pPr>
      <w:r>
        <w:t xml:space="preserve">Student name</w:t>
      </w:r>
    </w:p>
    <w:p>
      <w:pPr>
        <w:pStyle w:val="Compact"/>
        <w:numPr>
          <w:ilvl w:val="0"/>
          <w:numId w:val="1007"/>
        </w:numPr>
      </w:pPr>
      <w:r>
        <w:t xml:space="preserve">Student ID</w:t>
      </w:r>
    </w:p>
    <w:p>
      <w:pPr>
        <w:pStyle w:val="Compact"/>
        <w:numPr>
          <w:ilvl w:val="0"/>
          <w:numId w:val="1007"/>
        </w:numPr>
      </w:pPr>
      <w:r>
        <w:t xml:space="preserve">Allocated internship discipline</w:t>
      </w:r>
    </w:p>
    <w:p>
      <w:pPr>
        <w:pStyle w:val="Compact"/>
        <w:numPr>
          <w:ilvl w:val="0"/>
          <w:numId w:val="1007"/>
        </w:numPr>
      </w:pPr>
      <w:r>
        <w:t xml:space="preserve">Final allocation score (optional)</w:t>
      </w:r>
    </w:p>
    <w:p>
      <w:pPr>
        <w:pStyle w:val="Compact"/>
        <w:numPr>
          <w:ilvl w:val="0"/>
          <w:numId w:val="1007"/>
        </w:numPr>
      </w:pPr>
      <w:r>
        <w:t xml:space="preserve">Allocation status</w:t>
      </w:r>
    </w:p>
    <w:p>
      <w:pPr>
        <w:pStyle w:val="FirstParagraph"/>
      </w:pPr>
      <w:r>
        <w:t xml:space="preserve">The published list shall be considered provisional for a specified objection period.</w:t>
      </w:r>
    </w:p>
    <w:p>
      <w:r>
        <w:pict>
          <v:rect style="width:0;height:1.5pt" o:hralign="center" o:hrstd="t" o:hr="t"/>
        </w:pict>
      </w:r>
    </w:p>
    <w:bookmarkEnd w:id="33"/>
    <w:bookmarkStart w:id="34" w:name="appeals"/>
    <w:p>
      <w:pPr>
        <w:pStyle w:val="Heading1"/>
      </w:pPr>
      <w:r>
        <w:t xml:space="preserve">12. Appeals</w:t>
      </w:r>
    </w:p>
    <w:p>
      <w:pPr>
        <w:pStyle w:val="FirstParagraph"/>
      </w:pPr>
      <w:r>
        <w:t xml:space="preserve">Students may submit written appeals within the deadline announced by the Faculty. Appeals shall only be considered in cases involving:</w:t>
      </w:r>
    </w:p>
    <w:p>
      <w:pPr>
        <w:pStyle w:val="Compact"/>
        <w:numPr>
          <w:ilvl w:val="0"/>
          <w:numId w:val="1008"/>
        </w:numPr>
      </w:pPr>
      <w:r>
        <w:t xml:space="preserve">Data entry errors</w:t>
      </w:r>
    </w:p>
    <w:p>
      <w:pPr>
        <w:pStyle w:val="Compact"/>
        <w:numPr>
          <w:ilvl w:val="0"/>
          <w:numId w:val="1008"/>
        </w:numPr>
      </w:pPr>
      <w:r>
        <w:t xml:space="preserve">Incorrect CGPA</w:t>
      </w:r>
    </w:p>
    <w:p>
      <w:pPr>
        <w:pStyle w:val="Compact"/>
        <w:numPr>
          <w:ilvl w:val="0"/>
          <w:numId w:val="1008"/>
        </w:numPr>
      </w:pPr>
      <w:r>
        <w:t xml:space="preserve">Incorrect preference entry</w:t>
      </w:r>
    </w:p>
    <w:p>
      <w:pPr>
        <w:pStyle w:val="Compact"/>
        <w:numPr>
          <w:ilvl w:val="0"/>
          <w:numId w:val="1008"/>
        </w:numPr>
      </w:pPr>
      <w:r>
        <w:t xml:space="preserve">Calculation errors</w:t>
      </w:r>
    </w:p>
    <w:p>
      <w:pPr>
        <w:pStyle w:val="FirstParagraph"/>
      </w:pPr>
      <w:r>
        <w:t xml:space="preserve">Requests based solely on personal preference after allocation shall not normally be entertained.</w:t>
      </w:r>
    </w:p>
    <w:p>
      <w:r>
        <w:pict>
          <v:rect style="width:0;height:1.5pt" o:hralign="center" o:hrstd="t" o:hr="t"/>
        </w:pict>
      </w:r>
    </w:p>
    <w:bookmarkEnd w:id="34"/>
    <w:bookmarkStart w:id="35" w:name="authority"/>
    <w:p>
      <w:pPr>
        <w:pStyle w:val="Heading1"/>
      </w:pPr>
      <w:r>
        <w:t xml:space="preserve">13. Authority</w:t>
      </w:r>
    </w:p>
    <w:p>
      <w:pPr>
        <w:pStyle w:val="FirstParagraph"/>
      </w:pPr>
      <w:r>
        <w:t xml:space="preserve">The Internship Committee reserves the right to verify all submitted information and resolve unforeseen situations. The decision of the Faculty Internship Committee, with the approval of the Dean, shall be final.</w:t>
      </w:r>
    </w:p>
    <w:p>
      <w:r>
        <w:pict>
          <v:rect style="width:0;height:1.5pt" o:hralign="center" o:hrstd="t" o:hr="t"/>
        </w:pict>
      </w:r>
    </w:p>
    <w:bookmarkEnd w:id="35"/>
    <w:bookmarkStart w:id="36" w:name="effective-date"/>
    <w:p>
      <w:pPr>
        <w:pStyle w:val="Heading1"/>
      </w:pPr>
      <w:r>
        <w:t xml:space="preserve">14. Effective Date</w:t>
      </w:r>
    </w:p>
    <w:p>
      <w:pPr>
        <w:pStyle w:val="FirstParagraph"/>
      </w:pPr>
      <w:r>
        <w:t xml:space="preserve">These guidelines shall become effective upon approval by the Faculty Academic Committee of the Faculty of Environmental Science and Disaster Management, Patuakhali Science and Technology University.</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2026-06-18T05:30:43Z</dcterms:created>
  <dcterms:modified xsi:type="dcterms:W3CDTF">2026-06-18T05:30:43Z</dcterms:modified>
</cp:coreProperties>
</file>

<file path=docProps/custom.xml><?xml version="1.0" encoding="utf-8"?>
<Properties xmlns="http://schemas.openxmlformats.org/officeDocument/2006/custom-properties" xmlns:vt="http://schemas.openxmlformats.org/officeDocument/2006/docPropsVTypes"/>
</file>